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13" w:rsidRDefault="00A51913" w:rsidP="005C692C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</w:t>
      </w:r>
      <w:r w:rsidRPr="00AF2CEC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Land, Water and Other Legislation Amendment Bill 2013 </w:t>
      </w:r>
      <w:r w:rsidRPr="00AF2CEC">
        <w:rPr>
          <w:rFonts w:ascii="Arial" w:hAnsi="Arial" w:cs="Arial"/>
          <w:sz w:val="22"/>
          <w:szCs w:val="22"/>
        </w:rPr>
        <w:t xml:space="preserve">amends the </w:t>
      </w:r>
      <w:r w:rsidRPr="00AF2CEC">
        <w:rPr>
          <w:rFonts w:ascii="Arial" w:hAnsi="Arial" w:cs="Arial"/>
          <w:i/>
          <w:sz w:val="22"/>
          <w:szCs w:val="22"/>
        </w:rPr>
        <w:t>Water Act 2000</w:t>
      </w:r>
      <w:r w:rsidRPr="00AF2CEC">
        <w:rPr>
          <w:rFonts w:ascii="Arial" w:hAnsi="Arial" w:cs="Arial"/>
          <w:sz w:val="22"/>
          <w:szCs w:val="22"/>
        </w:rPr>
        <w:t xml:space="preserve"> to implement recommendations relating to levees from the Queensland Floods Commission of Inquiry’s Final Report. The Bill provides the legislative framework for a consistent approach to regulate the construction of new levees</w:t>
      </w:r>
      <w:r>
        <w:rPr>
          <w:rFonts w:ascii="Arial" w:hAnsi="Arial" w:cs="Arial"/>
          <w:sz w:val="22"/>
          <w:szCs w:val="22"/>
        </w:rPr>
        <w:t xml:space="preserve"> and modification of existing levees.</w:t>
      </w:r>
    </w:p>
    <w:p w:rsidR="00A51913" w:rsidRPr="008C7C62" w:rsidRDefault="00A51913" w:rsidP="00E85A54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8C7C62">
        <w:rPr>
          <w:rFonts w:ascii="Arial" w:hAnsi="Arial" w:cs="Arial"/>
          <w:sz w:val="22"/>
          <w:szCs w:val="22"/>
        </w:rPr>
        <w:t>The Bill also amends a number of Acts within th</w:t>
      </w:r>
      <w:r>
        <w:rPr>
          <w:rFonts w:ascii="Arial" w:hAnsi="Arial" w:cs="Arial"/>
          <w:sz w:val="22"/>
          <w:szCs w:val="22"/>
        </w:rPr>
        <w:t xml:space="preserve">e natural resources and mining </w:t>
      </w:r>
      <w:r w:rsidRPr="008C7C62">
        <w:rPr>
          <w:rFonts w:ascii="Arial" w:hAnsi="Arial" w:cs="Arial"/>
          <w:sz w:val="22"/>
          <w:szCs w:val="22"/>
        </w:rPr>
        <w:t xml:space="preserve">portfolio which will streamline various operational land, water and </w:t>
      </w:r>
      <w:r>
        <w:rPr>
          <w:rFonts w:ascii="Arial" w:hAnsi="Arial" w:cs="Arial"/>
          <w:sz w:val="22"/>
          <w:szCs w:val="22"/>
        </w:rPr>
        <w:t xml:space="preserve">petroleum </w:t>
      </w:r>
      <w:r w:rsidRPr="008C7C62">
        <w:rPr>
          <w:rFonts w:ascii="Arial" w:hAnsi="Arial" w:cs="Arial"/>
          <w:sz w:val="22"/>
          <w:szCs w:val="22"/>
        </w:rPr>
        <w:t xml:space="preserve">provisions as well as realise a number of administrative and operational efficiencies for both government and stakeholders. The Bill supports the government’s commitment to reduce red tape.   </w:t>
      </w:r>
    </w:p>
    <w:p w:rsidR="00A51913" w:rsidRDefault="00A51913" w:rsidP="00E85A54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of the amendments in the Bill include:</w:t>
      </w:r>
    </w:p>
    <w:p w:rsidR="00A51913" w:rsidRPr="0090734E" w:rsidRDefault="00A51913" w:rsidP="00DF4B85">
      <w:pPr>
        <w:pStyle w:val="ListParagraph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0734E">
        <w:rPr>
          <w:rFonts w:ascii="Arial" w:hAnsi="Arial" w:cs="Arial"/>
          <w:sz w:val="22"/>
          <w:szCs w:val="22"/>
        </w:rPr>
        <w:t>streamlining a number of tenure related issues on Aboriginal and Torres Strait Islander lands</w:t>
      </w:r>
    </w:p>
    <w:p w:rsidR="00A51913" w:rsidRDefault="00A51913" w:rsidP="00DF4B85">
      <w:pPr>
        <w:pStyle w:val="ListParagraph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shortening the acquisition process in the </w:t>
      </w:r>
      <w:r w:rsidRPr="008C7C62">
        <w:rPr>
          <w:rFonts w:ascii="Arial" w:hAnsi="Arial" w:cs="Arial"/>
          <w:i/>
          <w:sz w:val="22"/>
          <w:szCs w:val="22"/>
        </w:rPr>
        <w:t>Acquisition of Land Act 1967</w:t>
      </w:r>
      <w:r>
        <w:rPr>
          <w:rFonts w:ascii="Arial" w:hAnsi="Arial" w:cs="Arial"/>
          <w:sz w:val="22"/>
          <w:szCs w:val="22"/>
        </w:rPr>
        <w:t xml:space="preserve"> where the parties agree and where native title interests are not involved</w:t>
      </w:r>
    </w:p>
    <w:p w:rsidR="00A51913" w:rsidRDefault="00A51913" w:rsidP="00DF4B85">
      <w:pPr>
        <w:pStyle w:val="ListParagraph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allowing a short term extension of a lease under the </w:t>
      </w:r>
      <w:r w:rsidRPr="00AA2753">
        <w:rPr>
          <w:rFonts w:ascii="Arial" w:hAnsi="Arial" w:cs="Arial"/>
          <w:i/>
          <w:sz w:val="22"/>
          <w:szCs w:val="22"/>
        </w:rPr>
        <w:t>Land Act 1994</w:t>
      </w:r>
      <w:r>
        <w:rPr>
          <w:rFonts w:ascii="Arial" w:hAnsi="Arial" w:cs="Arial"/>
          <w:sz w:val="22"/>
          <w:szCs w:val="22"/>
        </w:rPr>
        <w:t xml:space="preserve"> for periods of up to two years, rather than one year</w:t>
      </w:r>
    </w:p>
    <w:p w:rsidR="00A51913" w:rsidRDefault="00A51913" w:rsidP="00DF4B85">
      <w:pPr>
        <w:pStyle w:val="ListParagraph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C7C62">
        <w:rPr>
          <w:rFonts w:ascii="Arial" w:hAnsi="Arial" w:cs="Arial"/>
          <w:sz w:val="22"/>
          <w:szCs w:val="22"/>
        </w:rPr>
        <w:t>amend</w:t>
      </w:r>
      <w:r>
        <w:rPr>
          <w:rFonts w:ascii="Arial" w:hAnsi="Arial" w:cs="Arial"/>
          <w:sz w:val="22"/>
          <w:szCs w:val="22"/>
        </w:rPr>
        <w:t>ing</w:t>
      </w:r>
      <w:r w:rsidRPr="008C7C62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 xml:space="preserve">provisions relating to the State Rural Leasehold Land Strategy </w:t>
      </w:r>
      <w:r w:rsidRPr="008C7C62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increase the applicable land </w:t>
      </w:r>
      <w:r w:rsidRPr="008C7C62">
        <w:rPr>
          <w:rFonts w:ascii="Arial" w:hAnsi="Arial" w:cs="Arial"/>
          <w:sz w:val="22"/>
          <w:szCs w:val="22"/>
        </w:rPr>
        <w:t xml:space="preserve">area threshold </w:t>
      </w:r>
      <w:r>
        <w:rPr>
          <w:rFonts w:ascii="Arial" w:hAnsi="Arial" w:cs="Arial"/>
          <w:sz w:val="22"/>
          <w:szCs w:val="22"/>
        </w:rPr>
        <w:t xml:space="preserve">to </w:t>
      </w:r>
      <w:r w:rsidRPr="008C7C62">
        <w:rPr>
          <w:rFonts w:ascii="Arial" w:hAnsi="Arial" w:cs="Arial"/>
          <w:sz w:val="22"/>
          <w:szCs w:val="22"/>
        </w:rPr>
        <w:t>1,000 hectares</w:t>
      </w:r>
      <w:r>
        <w:rPr>
          <w:rFonts w:ascii="Arial" w:hAnsi="Arial" w:cs="Arial"/>
          <w:sz w:val="22"/>
          <w:szCs w:val="22"/>
        </w:rPr>
        <w:t xml:space="preserve"> or more for new leases and lease renewals under the </w:t>
      </w:r>
      <w:r w:rsidRPr="00AA2753">
        <w:rPr>
          <w:rFonts w:ascii="Arial" w:hAnsi="Arial" w:cs="Arial"/>
          <w:i/>
          <w:sz w:val="22"/>
          <w:szCs w:val="22"/>
        </w:rPr>
        <w:t>Land Act 1994</w:t>
      </w:r>
    </w:p>
    <w:p w:rsidR="00A51913" w:rsidRDefault="00A51913" w:rsidP="00DF4B85">
      <w:pPr>
        <w:pStyle w:val="ListParagraph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providing</w:t>
      </w:r>
      <w:r w:rsidRPr="008C7C62">
        <w:rPr>
          <w:rFonts w:ascii="Arial" w:hAnsi="Arial" w:cs="Arial"/>
          <w:sz w:val="22"/>
          <w:szCs w:val="22"/>
        </w:rPr>
        <w:t xml:space="preserve"> a legislative framework for the recording and registration of statutory easements over small terrace type housing lots, containing bui</w:t>
      </w:r>
      <w:r>
        <w:rPr>
          <w:rFonts w:ascii="Arial" w:hAnsi="Arial" w:cs="Arial"/>
          <w:sz w:val="22"/>
          <w:szCs w:val="22"/>
        </w:rPr>
        <w:t>ldings with shared common walls</w:t>
      </w:r>
    </w:p>
    <w:p w:rsidR="00A51913" w:rsidRPr="003E66AA" w:rsidRDefault="00A51913" w:rsidP="00DF4B85">
      <w:pPr>
        <w:pStyle w:val="ListParagraph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E66AA">
        <w:rPr>
          <w:rFonts w:ascii="Arial" w:hAnsi="Arial" w:cs="Arial"/>
          <w:sz w:val="22"/>
          <w:szCs w:val="22"/>
        </w:rPr>
        <w:t>remov</w:t>
      </w:r>
      <w:r>
        <w:rPr>
          <w:rFonts w:ascii="Arial" w:hAnsi="Arial" w:cs="Arial"/>
          <w:sz w:val="22"/>
          <w:szCs w:val="22"/>
        </w:rPr>
        <w:t>ing</w:t>
      </w:r>
      <w:r w:rsidRPr="003E66AA">
        <w:rPr>
          <w:rFonts w:ascii="Arial" w:hAnsi="Arial" w:cs="Arial"/>
          <w:sz w:val="22"/>
          <w:szCs w:val="22"/>
        </w:rPr>
        <w:t xml:space="preserve"> the requirement for </w:t>
      </w:r>
      <w:r>
        <w:rPr>
          <w:rFonts w:ascii="Arial" w:hAnsi="Arial" w:cs="Arial"/>
          <w:sz w:val="22"/>
          <w:szCs w:val="22"/>
        </w:rPr>
        <w:t>a resource activity tenure holder</w:t>
      </w:r>
      <w:r w:rsidRPr="003E66AA">
        <w:rPr>
          <w:rFonts w:ascii="Arial" w:hAnsi="Arial" w:cs="Arial"/>
          <w:sz w:val="22"/>
          <w:szCs w:val="22"/>
        </w:rPr>
        <w:t xml:space="preserve"> to hold a water licence to interfere with the flow of water in a watercourse</w:t>
      </w:r>
      <w:r>
        <w:rPr>
          <w:rFonts w:ascii="Arial" w:hAnsi="Arial" w:cs="Arial"/>
          <w:sz w:val="22"/>
          <w:szCs w:val="22"/>
        </w:rPr>
        <w:t xml:space="preserve"> via diversion on tenure. Instead</w:t>
      </w:r>
      <w:r w:rsidRPr="003E66AA">
        <w:rPr>
          <w:rFonts w:ascii="Arial" w:hAnsi="Arial" w:cs="Arial"/>
          <w:sz w:val="22"/>
          <w:szCs w:val="22"/>
        </w:rPr>
        <w:t xml:space="preserve"> th</w:t>
      </w:r>
      <w:r>
        <w:rPr>
          <w:rFonts w:ascii="Arial" w:hAnsi="Arial" w:cs="Arial"/>
          <w:sz w:val="22"/>
          <w:szCs w:val="22"/>
        </w:rPr>
        <w:t>is</w:t>
      </w:r>
      <w:r w:rsidRPr="003E66AA">
        <w:rPr>
          <w:rFonts w:ascii="Arial" w:hAnsi="Arial" w:cs="Arial"/>
          <w:sz w:val="22"/>
          <w:szCs w:val="22"/>
        </w:rPr>
        <w:t xml:space="preserve"> interference</w:t>
      </w:r>
      <w:r>
        <w:rPr>
          <w:rFonts w:ascii="Arial" w:hAnsi="Arial" w:cs="Arial"/>
          <w:sz w:val="22"/>
          <w:szCs w:val="22"/>
        </w:rPr>
        <w:t xml:space="preserve"> will be authorised</w:t>
      </w:r>
      <w:r w:rsidRPr="003E66AA">
        <w:rPr>
          <w:rFonts w:ascii="Arial" w:hAnsi="Arial" w:cs="Arial"/>
          <w:sz w:val="22"/>
          <w:szCs w:val="22"/>
        </w:rPr>
        <w:t xml:space="preserve"> through the grant</w:t>
      </w:r>
      <w:r>
        <w:rPr>
          <w:rFonts w:ascii="Arial" w:hAnsi="Arial" w:cs="Arial"/>
          <w:sz w:val="22"/>
          <w:szCs w:val="22"/>
        </w:rPr>
        <w:t>ing</w:t>
      </w:r>
      <w:r w:rsidRPr="003E66AA">
        <w:rPr>
          <w:rFonts w:ascii="Arial" w:hAnsi="Arial" w:cs="Arial"/>
          <w:sz w:val="22"/>
          <w:szCs w:val="22"/>
        </w:rPr>
        <w:t xml:space="preserve"> of an environmental authority</w:t>
      </w:r>
      <w:r>
        <w:rPr>
          <w:rFonts w:ascii="Arial" w:hAnsi="Arial" w:cs="Arial"/>
          <w:sz w:val="22"/>
          <w:szCs w:val="22"/>
        </w:rPr>
        <w:t xml:space="preserve"> under the </w:t>
      </w:r>
      <w:r>
        <w:rPr>
          <w:rFonts w:ascii="Arial" w:hAnsi="Arial" w:cs="Arial"/>
          <w:i/>
          <w:sz w:val="22"/>
          <w:szCs w:val="22"/>
        </w:rPr>
        <w:t>Environmental Protection Act 1994</w:t>
      </w:r>
    </w:p>
    <w:p w:rsidR="00A51913" w:rsidRDefault="00A51913" w:rsidP="00DF4B85">
      <w:pPr>
        <w:pStyle w:val="ListParagraph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extending the stated period of all currently issued water licences until 30 June 2111</w:t>
      </w:r>
    </w:p>
    <w:p w:rsidR="00A51913" w:rsidRPr="00F74BBC" w:rsidRDefault="00A51913" w:rsidP="00DF4B85">
      <w:pPr>
        <w:pStyle w:val="ListParagraph"/>
        <w:numPr>
          <w:ilvl w:val="0"/>
          <w:numId w:val="5"/>
        </w:numPr>
        <w:spacing w:before="40"/>
        <w:ind w:left="714" w:hanging="357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1328FC">
        <w:rPr>
          <w:rFonts w:ascii="Arial" w:hAnsi="Arial" w:cs="Arial"/>
          <w:sz w:val="22"/>
          <w:szCs w:val="22"/>
        </w:rPr>
        <w:t xml:space="preserve">removing the requirement for a riverine protection permit under the </w:t>
      </w:r>
      <w:r w:rsidRPr="001328FC">
        <w:rPr>
          <w:rFonts w:ascii="Arial" w:hAnsi="Arial" w:cs="Arial"/>
          <w:i/>
          <w:sz w:val="22"/>
          <w:szCs w:val="22"/>
        </w:rPr>
        <w:t xml:space="preserve">Water Act 2000, </w:t>
      </w:r>
      <w:r>
        <w:rPr>
          <w:rFonts w:ascii="Arial" w:hAnsi="Arial" w:cs="Arial"/>
          <w:sz w:val="22"/>
          <w:szCs w:val="22"/>
        </w:rPr>
        <w:t xml:space="preserve">for the </w:t>
      </w:r>
      <w:r w:rsidRPr="001328FC">
        <w:rPr>
          <w:rFonts w:ascii="Arial" w:hAnsi="Arial" w:cs="Arial"/>
          <w:sz w:val="22"/>
          <w:szCs w:val="22"/>
        </w:rPr>
        <w:t xml:space="preserve">clearing of vegetation in a watercourse, lake or spring </w:t>
      </w:r>
      <w:r>
        <w:rPr>
          <w:rFonts w:ascii="Arial" w:hAnsi="Arial" w:cs="Arial"/>
          <w:sz w:val="22"/>
          <w:szCs w:val="22"/>
        </w:rPr>
        <w:t xml:space="preserve">leaving these matters to be dealt with </w:t>
      </w:r>
      <w:r w:rsidRPr="001328FC">
        <w:rPr>
          <w:rFonts w:ascii="Arial" w:hAnsi="Arial" w:cs="Arial"/>
          <w:sz w:val="22"/>
          <w:szCs w:val="22"/>
        </w:rPr>
        <w:t xml:space="preserve">under the </w:t>
      </w:r>
      <w:r w:rsidRPr="001328FC">
        <w:rPr>
          <w:rFonts w:ascii="Arial" w:hAnsi="Arial" w:cs="Arial"/>
          <w:i/>
          <w:sz w:val="22"/>
          <w:szCs w:val="22"/>
        </w:rPr>
        <w:t>Vegetation Management Act 1999</w:t>
      </w:r>
    </w:p>
    <w:p w:rsidR="00A51913" w:rsidRPr="008C7C62" w:rsidRDefault="00A51913" w:rsidP="00DF4B85">
      <w:pPr>
        <w:pStyle w:val="ListParagraph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8C7C62">
        <w:rPr>
          <w:rFonts w:ascii="Arial" w:hAnsi="Arial" w:cs="Arial"/>
          <w:sz w:val="22"/>
          <w:szCs w:val="22"/>
        </w:rPr>
        <w:t xml:space="preserve">removing the </w:t>
      </w:r>
      <w:r>
        <w:rPr>
          <w:rFonts w:ascii="Arial" w:hAnsi="Arial" w:cs="Arial"/>
          <w:sz w:val="22"/>
          <w:szCs w:val="22"/>
        </w:rPr>
        <w:t xml:space="preserve">requirement </w:t>
      </w:r>
      <w:r w:rsidRPr="008C7C62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 xml:space="preserve">water entitlement holders proposing to undertake </w:t>
      </w:r>
      <w:r w:rsidRPr="008C7C62">
        <w:rPr>
          <w:rFonts w:ascii="Arial" w:hAnsi="Arial" w:cs="Arial"/>
          <w:sz w:val="22"/>
          <w:szCs w:val="22"/>
        </w:rPr>
        <w:t>irrigat</w:t>
      </w:r>
      <w:r>
        <w:rPr>
          <w:rFonts w:ascii="Arial" w:hAnsi="Arial" w:cs="Arial"/>
          <w:sz w:val="22"/>
          <w:szCs w:val="22"/>
        </w:rPr>
        <w:t>i</w:t>
      </w:r>
      <w:r w:rsidRPr="008C7C6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8C7C62">
        <w:rPr>
          <w:rFonts w:ascii="Arial" w:hAnsi="Arial" w:cs="Arial"/>
          <w:sz w:val="22"/>
          <w:szCs w:val="22"/>
        </w:rPr>
        <w:t xml:space="preserve"> to pre</w:t>
      </w:r>
      <w:r>
        <w:rPr>
          <w:rFonts w:ascii="Arial" w:hAnsi="Arial" w:cs="Arial"/>
          <w:sz w:val="22"/>
          <w:szCs w:val="22"/>
        </w:rPr>
        <w:t>pare land and water management plans</w:t>
      </w:r>
    </w:p>
    <w:p w:rsidR="00A51913" w:rsidRDefault="00A51913" w:rsidP="00DF4B85">
      <w:pPr>
        <w:pStyle w:val="ListParagraph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increasing flexibility for the chief executive of the Department of Natural Resources and Mines to deal with surrendered and forfeited interim water allocations</w:t>
      </w:r>
    </w:p>
    <w:p w:rsidR="00A51913" w:rsidRDefault="00A51913" w:rsidP="00DF4B85">
      <w:pPr>
        <w:pStyle w:val="ListParagraph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providing the Minister for Natural Resources and Mines with more flexibility in prioritising the review and replacement of water resource plans</w:t>
      </w:r>
    </w:p>
    <w:p w:rsidR="00A51913" w:rsidRDefault="00A51913" w:rsidP="00DF4B85">
      <w:pPr>
        <w:pStyle w:val="ListParagraph"/>
        <w:numPr>
          <w:ilvl w:val="0"/>
          <w:numId w:val="4"/>
        </w:numPr>
        <w:spacing w:before="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streamlining the process for the conversion of petroleum wells to water supply bores or water observation bores.</w:t>
      </w:r>
    </w:p>
    <w:p w:rsidR="00A51913" w:rsidRPr="009F35C8" w:rsidRDefault="00A51913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F35C8">
        <w:rPr>
          <w:rFonts w:ascii="Arial" w:hAnsi="Arial" w:cs="Arial"/>
          <w:sz w:val="22"/>
          <w:szCs w:val="22"/>
          <w:u w:val="single"/>
        </w:rPr>
        <w:t>Cabinet approved</w:t>
      </w:r>
      <w:r w:rsidRPr="009F35C8">
        <w:rPr>
          <w:rFonts w:ascii="Arial" w:hAnsi="Arial" w:cs="Arial"/>
          <w:sz w:val="22"/>
          <w:szCs w:val="22"/>
        </w:rPr>
        <w:t xml:space="preserve"> the introduction of the Land, Water and Other Legislation Amendment Bill 2013 into the Legislative Assembly.</w:t>
      </w:r>
    </w:p>
    <w:p w:rsidR="00A51913" w:rsidRPr="00C07656" w:rsidRDefault="00A51913" w:rsidP="00D46824">
      <w:pPr>
        <w:jc w:val="both"/>
        <w:rPr>
          <w:rFonts w:ascii="Arial" w:hAnsi="Arial" w:cs="Arial"/>
          <w:sz w:val="22"/>
          <w:szCs w:val="22"/>
        </w:rPr>
      </w:pPr>
    </w:p>
    <w:p w:rsidR="00A51913" w:rsidRPr="00C07656" w:rsidRDefault="00A51913" w:rsidP="00DF4B85">
      <w:pPr>
        <w:keepNext/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51913" w:rsidRDefault="003A28FC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A51913" w:rsidRPr="00332754">
          <w:rPr>
            <w:rStyle w:val="Hyperlink"/>
            <w:rFonts w:ascii="Arial" w:hAnsi="Arial" w:cs="Arial"/>
            <w:sz w:val="22"/>
            <w:szCs w:val="22"/>
          </w:rPr>
          <w:t>Land, Water and Other Legislation Amendment Bill 2013</w:t>
        </w:r>
      </w:hyperlink>
    </w:p>
    <w:p w:rsidR="00A51913" w:rsidRPr="00D6589B" w:rsidRDefault="003A28FC" w:rsidP="009F35C8">
      <w:pPr>
        <w:numPr>
          <w:ilvl w:val="0"/>
          <w:numId w:val="2"/>
        </w:numPr>
        <w:spacing w:before="120"/>
        <w:ind w:left="811"/>
        <w:jc w:val="both"/>
      </w:pPr>
      <w:hyperlink r:id="rId8" w:history="1">
        <w:r w:rsidR="00A51913" w:rsidRPr="00332754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332754">
        <w:rPr>
          <w:rFonts w:ascii="Arial" w:hAnsi="Arial" w:cs="Arial"/>
          <w:sz w:val="22"/>
          <w:szCs w:val="22"/>
        </w:rPr>
        <w:t xml:space="preserve"> and </w:t>
      </w:r>
      <w:hyperlink r:id="rId9" w:history="1">
        <w:r w:rsidR="00332754" w:rsidRPr="00332754">
          <w:rPr>
            <w:rStyle w:val="Hyperlink"/>
            <w:rFonts w:ascii="Arial" w:hAnsi="Arial" w:cs="Arial"/>
            <w:sz w:val="22"/>
            <w:szCs w:val="22"/>
          </w:rPr>
          <w:t>Erratum</w:t>
        </w:r>
      </w:hyperlink>
    </w:p>
    <w:sectPr w:rsidR="00A51913" w:rsidRPr="00D6589B" w:rsidSect="00DF4B85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A7A" w:rsidRDefault="00363A7A" w:rsidP="00D6589B">
      <w:r>
        <w:separator/>
      </w:r>
    </w:p>
  </w:endnote>
  <w:endnote w:type="continuationSeparator" w:id="0">
    <w:p w:rsidR="00363A7A" w:rsidRDefault="00363A7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A7A" w:rsidRDefault="00363A7A" w:rsidP="00D6589B">
      <w:r>
        <w:separator/>
      </w:r>
    </w:p>
  </w:footnote>
  <w:footnote w:type="continuationSeparator" w:id="0">
    <w:p w:rsidR="00363A7A" w:rsidRDefault="00363A7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913" w:rsidRPr="00D75134" w:rsidRDefault="00A51913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A51913" w:rsidRPr="00D75134" w:rsidRDefault="00A51913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A51913" w:rsidRPr="001E209B" w:rsidRDefault="00A51913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March 2013</w:t>
    </w:r>
  </w:p>
  <w:p w:rsidR="00A51913" w:rsidRDefault="00A5191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Land, Water and Other Legislation Amendment Bill 2013</w:t>
    </w:r>
  </w:p>
  <w:p w:rsidR="00A51913" w:rsidRDefault="00A5191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 and Mines</w:t>
    </w:r>
  </w:p>
  <w:p w:rsidR="00A51913" w:rsidRDefault="00A51913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6B50"/>
    <w:multiLevelType w:val="hybridMultilevel"/>
    <w:tmpl w:val="79BA5374"/>
    <w:lvl w:ilvl="0" w:tplc="F4B43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4C5A941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4B436B4">
      <w:start w:val="1"/>
      <w:numFmt w:val="bullet"/>
      <w:lvlText w:val="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13"/>
    <w:rsid w:val="000430DD"/>
    <w:rsid w:val="00072C5B"/>
    <w:rsid w:val="00080F8F"/>
    <w:rsid w:val="00081B5E"/>
    <w:rsid w:val="000F4168"/>
    <w:rsid w:val="001079F7"/>
    <w:rsid w:val="001328FC"/>
    <w:rsid w:val="00140936"/>
    <w:rsid w:val="00193343"/>
    <w:rsid w:val="001E209B"/>
    <w:rsid w:val="00207696"/>
    <w:rsid w:val="0021344B"/>
    <w:rsid w:val="00236557"/>
    <w:rsid w:val="00277D8B"/>
    <w:rsid w:val="00294896"/>
    <w:rsid w:val="002D0332"/>
    <w:rsid w:val="002D2611"/>
    <w:rsid w:val="002D4122"/>
    <w:rsid w:val="00302111"/>
    <w:rsid w:val="00306707"/>
    <w:rsid w:val="00324113"/>
    <w:rsid w:val="00331B2C"/>
    <w:rsid w:val="00332754"/>
    <w:rsid w:val="00363A7A"/>
    <w:rsid w:val="00364758"/>
    <w:rsid w:val="003A28FC"/>
    <w:rsid w:val="003B5871"/>
    <w:rsid w:val="003E66AA"/>
    <w:rsid w:val="004674EA"/>
    <w:rsid w:val="004E3AE1"/>
    <w:rsid w:val="00501C66"/>
    <w:rsid w:val="005400FA"/>
    <w:rsid w:val="0059656B"/>
    <w:rsid w:val="005C692C"/>
    <w:rsid w:val="005D3F80"/>
    <w:rsid w:val="005D75C0"/>
    <w:rsid w:val="006413A5"/>
    <w:rsid w:val="00655BEE"/>
    <w:rsid w:val="00675D5E"/>
    <w:rsid w:val="006E14C3"/>
    <w:rsid w:val="00732E22"/>
    <w:rsid w:val="00740EF5"/>
    <w:rsid w:val="00743FDE"/>
    <w:rsid w:val="007800ED"/>
    <w:rsid w:val="00797FE7"/>
    <w:rsid w:val="007B250F"/>
    <w:rsid w:val="007F7ED2"/>
    <w:rsid w:val="008411AD"/>
    <w:rsid w:val="00893DAB"/>
    <w:rsid w:val="008A4523"/>
    <w:rsid w:val="008C7C62"/>
    <w:rsid w:val="008F44CD"/>
    <w:rsid w:val="0090734E"/>
    <w:rsid w:val="00910038"/>
    <w:rsid w:val="00950178"/>
    <w:rsid w:val="00967B38"/>
    <w:rsid w:val="009F35C8"/>
    <w:rsid w:val="00A031BF"/>
    <w:rsid w:val="00A05F5E"/>
    <w:rsid w:val="00A24F9B"/>
    <w:rsid w:val="00A319A6"/>
    <w:rsid w:val="00A51913"/>
    <w:rsid w:val="00A527A5"/>
    <w:rsid w:val="00AA2753"/>
    <w:rsid w:val="00AE143B"/>
    <w:rsid w:val="00AF2CEC"/>
    <w:rsid w:val="00B75BDE"/>
    <w:rsid w:val="00BE4BA6"/>
    <w:rsid w:val="00C05575"/>
    <w:rsid w:val="00C07656"/>
    <w:rsid w:val="00CD445C"/>
    <w:rsid w:val="00CE1BF2"/>
    <w:rsid w:val="00CE6FBA"/>
    <w:rsid w:val="00CF0D8A"/>
    <w:rsid w:val="00CF1234"/>
    <w:rsid w:val="00D34F43"/>
    <w:rsid w:val="00D40878"/>
    <w:rsid w:val="00D454BB"/>
    <w:rsid w:val="00D46824"/>
    <w:rsid w:val="00D6589B"/>
    <w:rsid w:val="00D75134"/>
    <w:rsid w:val="00DB453B"/>
    <w:rsid w:val="00DB6FE7"/>
    <w:rsid w:val="00DE61EC"/>
    <w:rsid w:val="00DF4B85"/>
    <w:rsid w:val="00E03EB3"/>
    <w:rsid w:val="00E85A54"/>
    <w:rsid w:val="00EE3CEE"/>
    <w:rsid w:val="00F10DF9"/>
    <w:rsid w:val="00F27E1F"/>
    <w:rsid w:val="00F34D43"/>
    <w:rsid w:val="00F74BBC"/>
    <w:rsid w:val="00F8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85A54"/>
    <w:pPr>
      <w:ind w:left="720"/>
      <w:contextualSpacing/>
    </w:pPr>
  </w:style>
  <w:style w:type="character" w:styleId="Hyperlink">
    <w:name w:val="Hyperlink"/>
    <w:uiPriority w:val="99"/>
    <w:rsid w:val="002D0332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46824"/>
    <w:rPr>
      <w:rFonts w:cs="Times New Roman"/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Erratum%20ExNot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ieS\AppData\Local\Microsoft\Windows\Temporary%20Internet%20Files\Content.Outlook\NF91QTPQ\Proactive%20Release%20-%20submission%20decision%20summary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submission decision summary (2).dot</Template>
  <TotalTime>0</TotalTime>
  <Pages>1</Pages>
  <Words>454</Words>
  <Characters>2457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2897</CharactersWithSpaces>
  <SharedDoc>false</SharedDoc>
  <HyperlinkBase>https://www.cabinet.qld.gov.au/documents/2013/Mar/Land Water Bill/</HyperlinkBase>
  <HLinks>
    <vt:vector size="18" baseType="variant">
      <vt:variant>
        <vt:i4>3997812</vt:i4>
      </vt:variant>
      <vt:variant>
        <vt:i4>6</vt:i4>
      </vt:variant>
      <vt:variant>
        <vt:i4>0</vt:i4>
      </vt:variant>
      <vt:variant>
        <vt:i4>5</vt:i4>
      </vt:variant>
      <vt:variant>
        <vt:lpwstr>Attachments/Erratum ExNotes.pdf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2013-02-22T04:04:00Z</cp:lastPrinted>
  <dcterms:created xsi:type="dcterms:W3CDTF">2017-10-25T00:52:00Z</dcterms:created>
  <dcterms:modified xsi:type="dcterms:W3CDTF">2018-03-06T01:19:00Z</dcterms:modified>
  <cp:category>Legislation,Land,Water,Environmental_Protection,Vegetation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